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1F66" w:rsidRPr="00014374" w:rsidRDefault="00EA297C">
      <w:pPr>
        <w:widowControl w:val="0"/>
        <w:pBdr>
          <w:top w:val="nil"/>
          <w:left w:val="nil"/>
          <w:bottom w:val="nil"/>
          <w:right w:val="nil"/>
          <w:between w:val="nil"/>
        </w:pBdr>
        <w:ind w:left="849" w:hanging="849"/>
        <w:jc w:val="center"/>
        <w:rPr>
          <w:rFonts w:ascii="華康標楷體" w:eastAsia="華康標楷體" w:hAnsi="DFKai-SB" w:cs="DFKai-SB" w:hint="eastAsia"/>
          <w:b/>
          <w:color w:val="000000"/>
          <w:sz w:val="32"/>
          <w:szCs w:val="32"/>
        </w:rPr>
      </w:pPr>
      <w:r w:rsidRPr="00014374">
        <w:rPr>
          <w:rFonts w:ascii="華康標楷體" w:eastAsia="華康標楷體" w:hAnsi="DFKai-SB" w:cs="DFKai-SB" w:hint="eastAsia"/>
          <w:b/>
          <w:color w:val="000000"/>
          <w:sz w:val="32"/>
          <w:szCs w:val="32"/>
        </w:rPr>
        <w:t>屏東縣泰武鄉萬安國小校外人士協助教學或活動要點</w:t>
      </w:r>
    </w:p>
    <w:p w14:paraId="00000002" w14:textId="77777777" w:rsidR="00741F66" w:rsidRPr="00014374" w:rsidRDefault="00EA297C">
      <w:pPr>
        <w:widowControl w:val="0"/>
        <w:pBdr>
          <w:top w:val="nil"/>
          <w:left w:val="nil"/>
          <w:bottom w:val="nil"/>
          <w:right w:val="nil"/>
          <w:between w:val="nil"/>
        </w:pBdr>
        <w:ind w:left="849" w:hanging="849"/>
        <w:jc w:val="center"/>
        <w:rPr>
          <w:rFonts w:ascii="華康標楷體" w:eastAsia="華康標楷體" w:hAnsi="DFKai-SB" w:cs="DFKai-SB" w:hint="eastAsia"/>
          <w:b/>
          <w:sz w:val="20"/>
          <w:szCs w:val="20"/>
        </w:rPr>
      </w:pPr>
      <w:r w:rsidRPr="00014374">
        <w:rPr>
          <w:rFonts w:ascii="華康標楷體" w:eastAsia="華康標楷體" w:hAnsi="DFKai-SB" w:cs="DFKai-SB" w:hint="eastAsia"/>
          <w:b/>
          <w:sz w:val="20"/>
          <w:szCs w:val="20"/>
        </w:rPr>
        <w:t xml:space="preserve">                                                   111.08.29.校務會議通過</w:t>
      </w:r>
    </w:p>
    <w:p w14:paraId="00000003" w14:textId="77777777" w:rsidR="00741F66" w:rsidRPr="00014374" w:rsidRDefault="00741F66">
      <w:pPr>
        <w:widowControl w:val="0"/>
        <w:pBdr>
          <w:top w:val="nil"/>
          <w:left w:val="nil"/>
          <w:bottom w:val="nil"/>
          <w:right w:val="nil"/>
          <w:between w:val="nil"/>
        </w:pBdr>
        <w:ind w:left="849" w:hanging="849"/>
        <w:jc w:val="center"/>
        <w:rPr>
          <w:rFonts w:ascii="華康標楷體" w:eastAsia="華康標楷體" w:hAnsi="DFKai-SB" w:cs="DFKai-SB" w:hint="eastAsia"/>
          <w:b/>
          <w:sz w:val="20"/>
          <w:szCs w:val="20"/>
        </w:rPr>
      </w:pPr>
    </w:p>
    <w:p w14:paraId="00000004"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rPr>
      </w:pPr>
      <w:r w:rsidRPr="00014374">
        <w:rPr>
          <w:rFonts w:ascii="華康標楷體" w:eastAsia="華康標楷體" w:hAnsi="DFKai-SB" w:cs="DFKai-SB" w:hint="eastAsia"/>
          <w:color w:val="000000"/>
          <w:sz w:val="28"/>
          <w:szCs w:val="28"/>
        </w:rPr>
        <w:t>萬安國小為規範校外人士協助學校教學或活動，俾維護學生權益，依照教育部國民及學前教育署校外人士協助高級中等以下學校教學或活動注意事項規定訂定本要點。</w:t>
      </w:r>
    </w:p>
    <w:p w14:paraId="00000005"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本要點所稱校外人士，指本校聘任、任用、僱用或以其他專案聘任之教職員工以外，進用或運用之其他人員。</w:t>
      </w:r>
    </w:p>
    <w:p w14:paraId="00000006"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校外人士有下列各款情形之一者，本校不予進用或運用：</w:t>
      </w:r>
    </w:p>
    <w:p w14:paraId="00000007"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（一）犯性侵害犯罪防治法第二條第一項所定之罪，經有罪判決確定。</w:t>
      </w:r>
    </w:p>
    <w:p w14:paraId="00000008"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（二）受兒童及少年性剝削防制條例規定處罰，或受性騷擾防治法第二十條或第二十五條規定處罰。</w:t>
      </w:r>
    </w:p>
    <w:p w14:paraId="00000009"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（三）經各級社政主管機關依兒童及少年福利與權益保障法第九十七條規定處罰。</w:t>
      </w:r>
    </w:p>
    <w:p w14:paraId="0000000A"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（四）曾體罰或霸凌學生，造成其身心嚴重侵害。</w:t>
      </w:r>
    </w:p>
    <w:p w14:paraId="0000000B"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（五）有性別平等教育法第二十七之一條第一項第一、二款及同條第三項之情形者。</w:t>
      </w:r>
    </w:p>
    <w:p w14:paraId="0000000C" w14:textId="77777777" w:rsidR="00741F66" w:rsidRPr="00014374" w:rsidRDefault="00EA297C">
      <w:pPr>
        <w:widowControl w:val="0"/>
        <w:pBdr>
          <w:top w:val="nil"/>
          <w:left w:val="nil"/>
          <w:bottom w:val="nil"/>
          <w:right w:val="nil"/>
          <w:between w:val="nil"/>
        </w:pBdr>
        <w:spacing w:line="480" w:lineRule="auto"/>
        <w:ind w:left="706" w:firstLine="566"/>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校外人士協助學校教學或活動前，學校應依性別平等教育法第二十七條之一規定查詢。</w:t>
      </w:r>
    </w:p>
    <w:p w14:paraId="0000000D"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校外人士協助教學或活動之課程，分為部定、校訂課程及非部定、校訂課程，校外人士協助教學時，原授課教師或導師均應在場；其課程及教</w:t>
      </w:r>
      <w:r w:rsidRPr="00014374">
        <w:rPr>
          <w:rFonts w:ascii="華康標楷體" w:eastAsia="華康標楷體" w:hAnsi="DFKai-SB" w:cs="DFKai-SB" w:hint="eastAsia"/>
          <w:color w:val="000000"/>
          <w:sz w:val="28"/>
          <w:szCs w:val="28"/>
        </w:rPr>
        <w:lastRenderedPageBreak/>
        <w:t>材，應依下列規定辦理：</w:t>
      </w:r>
    </w:p>
    <w:p w14:paraId="0000000E"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0000000F" w14:textId="77777777" w:rsidR="00741F66" w:rsidRPr="00014374" w:rsidRDefault="00EA297C">
      <w:pPr>
        <w:widowControl w:val="0"/>
        <w:pBdr>
          <w:top w:val="nil"/>
          <w:left w:val="nil"/>
          <w:bottom w:val="nil"/>
          <w:right w:val="nil"/>
          <w:between w:val="nil"/>
        </w:pBdr>
        <w:spacing w:line="480" w:lineRule="auto"/>
        <w:ind w:left="1562" w:hanging="854"/>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二）非部定、校訂課程：校外人士協助教學之課程及教材，原授課教師應事先與校外人士討論，並於○○週/日前提出申請表，由本校組成審查小組（審查小組成員包含行政人員、教師代表、家長代表）進行審查，並以書面、網站或其他多元管道，向學生及家長說明。</w:t>
      </w:r>
    </w:p>
    <w:p w14:paraId="00000010" w14:textId="77777777" w:rsidR="00741F66" w:rsidRPr="00014374" w:rsidRDefault="00EA297C">
      <w:pPr>
        <w:widowControl w:val="0"/>
        <w:pBdr>
          <w:top w:val="nil"/>
          <w:left w:val="nil"/>
          <w:bottom w:val="nil"/>
          <w:right w:val="nil"/>
          <w:between w:val="nil"/>
        </w:pBdr>
        <w:spacing w:line="480" w:lineRule="auto"/>
        <w:ind w:left="706" w:firstLine="566"/>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校外人士進入本校協助前項第一款部定、校訂課程教學有臨時性需求者，學校應於課程開始一週前，準用前項第二款審核機制辦理。</w:t>
      </w:r>
    </w:p>
    <w:p w14:paraId="00000011" w14:textId="77777777" w:rsidR="00741F66" w:rsidRPr="00014374" w:rsidRDefault="00EA297C">
      <w:pPr>
        <w:widowControl w:val="0"/>
        <w:pBdr>
          <w:top w:val="nil"/>
          <w:left w:val="nil"/>
          <w:bottom w:val="nil"/>
          <w:right w:val="nil"/>
          <w:between w:val="nil"/>
        </w:pBdr>
        <w:spacing w:line="480" w:lineRule="auto"/>
        <w:ind w:left="706" w:firstLine="566"/>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學生或家長申請閱覽第一項第一款、第二款教材者，本校應予提供。</w:t>
      </w:r>
    </w:p>
    <w:p w14:paraId="00000012"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14:paraId="00000013"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本校進用或運用校外人士協助教學或活動，應遵行下列規定：</w:t>
      </w:r>
    </w:p>
    <w:p w14:paraId="00000014"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（一）事先瞭解校外人士協助教學或活動之目的、宗旨及實施方式。</w:t>
      </w:r>
    </w:p>
    <w:p w14:paraId="00000015"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（二）明確告知校外人士本要點之規定。</w:t>
      </w:r>
    </w:p>
    <w:p w14:paraId="00000016"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（三）符合各該教育階段學生成長及學習需求。</w:t>
      </w:r>
    </w:p>
    <w:p w14:paraId="00000017"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lastRenderedPageBreak/>
        <w:t>（四）不得為特定政治團體或宗教信仰從事宣傳或活動。</w:t>
      </w:r>
    </w:p>
    <w:p w14:paraId="00000018"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（五）不得有商業或為其他利益衝突之行為。</w:t>
      </w:r>
    </w:p>
    <w:p w14:paraId="00000019" w14:textId="77777777" w:rsidR="00741F66" w:rsidRPr="00014374" w:rsidRDefault="00EA297C">
      <w:pPr>
        <w:widowControl w:val="0"/>
        <w:pBdr>
          <w:top w:val="nil"/>
          <w:left w:val="nil"/>
          <w:bottom w:val="nil"/>
          <w:right w:val="nil"/>
          <w:between w:val="nil"/>
        </w:pBdr>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（六）私立學校應符合教育基本法第六條第四項規定。</w:t>
      </w:r>
    </w:p>
    <w:p w14:paraId="0000001A"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14:paraId="0000001B"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長期協助教學或活動之校外人士，由本校提供必要之職能訓練。</w:t>
      </w:r>
    </w:p>
    <w:p w14:paraId="0000001C"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本校應就校外人士協助教學或活動，瞭解其實施成效，作為學校課程及教材規劃之參考。</w:t>
      </w:r>
    </w:p>
    <w:p w14:paraId="0000001D"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709"/>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本校由教導處負責校外人士協助教學或活動及家長諮詢、申訴之相關事項。</w:t>
      </w:r>
    </w:p>
    <w:p w14:paraId="0000001E" w14:textId="77777777" w:rsidR="00741F66" w:rsidRPr="00014374" w:rsidRDefault="00EA297C">
      <w:pPr>
        <w:widowControl w:val="0"/>
        <w:pBdr>
          <w:top w:val="nil"/>
          <w:left w:val="nil"/>
          <w:bottom w:val="nil"/>
          <w:right w:val="nil"/>
          <w:between w:val="nil"/>
        </w:pBdr>
        <w:spacing w:line="480" w:lineRule="auto"/>
        <w:ind w:left="720"/>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前項申訴案件之處理期限不得超過三十日；其未能在規定期限內辦結者，應依分層負責簽請核准延長，並將延長理由以書面告知申訴人。</w:t>
      </w:r>
    </w:p>
    <w:p w14:paraId="0000001F"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851"/>
        <w:rPr>
          <w:rFonts w:ascii="華康標楷體" w:eastAsia="華康標楷體" w:hAnsi="DFKai-SB" w:cs="DFKai-SB" w:hint="eastAsia"/>
          <w:color w:val="000000"/>
          <w:sz w:val="28"/>
          <w:szCs w:val="28"/>
        </w:rPr>
      </w:pPr>
      <w:r w:rsidRPr="00014374">
        <w:rPr>
          <w:rFonts w:ascii="華康標楷體" w:eastAsia="華康標楷體" w:hAnsi="DFKai-SB" w:cs="DFKai-SB" w:hint="eastAsia"/>
          <w:color w:val="000000"/>
          <w:sz w:val="28"/>
          <w:szCs w:val="28"/>
        </w:rPr>
        <w:t>校外人士協助教學或活動違反相關法規或本要點規定者，本校應終止契約關係或運用關係，並依相關法令處理。</w:t>
      </w:r>
    </w:p>
    <w:p w14:paraId="00000020" w14:textId="77777777" w:rsidR="00741F66" w:rsidRPr="00014374" w:rsidRDefault="00EA297C">
      <w:pPr>
        <w:widowControl w:val="0"/>
        <w:numPr>
          <w:ilvl w:val="0"/>
          <w:numId w:val="1"/>
        </w:numPr>
        <w:pBdr>
          <w:top w:val="nil"/>
          <w:left w:val="nil"/>
          <w:bottom w:val="nil"/>
          <w:right w:val="nil"/>
          <w:between w:val="nil"/>
        </w:pBdr>
        <w:tabs>
          <w:tab w:val="left" w:pos="0"/>
        </w:tabs>
        <w:spacing w:line="480" w:lineRule="auto"/>
        <w:ind w:left="851"/>
        <w:rPr>
          <w:rFonts w:ascii="華康標楷體" w:eastAsia="華康標楷體" w:hAnsi="DFKai-SB" w:cs="DFKai-SB" w:hint="eastAsia"/>
          <w:color w:val="000000"/>
        </w:rPr>
      </w:pPr>
      <w:r w:rsidRPr="00014374">
        <w:rPr>
          <w:rFonts w:ascii="華康標楷體" w:eastAsia="華康標楷體" w:hAnsi="DFKai-SB" w:cs="DFKai-SB" w:hint="eastAsia"/>
          <w:color w:val="000000"/>
          <w:sz w:val="28"/>
          <w:szCs w:val="28"/>
        </w:rPr>
        <w:t>本要點經校務會議通過後實施，修正時亦同。</w:t>
      </w:r>
    </w:p>
    <w:sectPr w:rsidR="00741F66" w:rsidRPr="00014374">
      <w:footerReference w:type="default" r:id="rId7"/>
      <w:pgSz w:w="12240" w:h="15840"/>
      <w:pgMar w:top="72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A7A2" w14:textId="77777777" w:rsidR="00416C57" w:rsidRDefault="00416C57">
      <w:r>
        <w:separator/>
      </w:r>
    </w:p>
  </w:endnote>
  <w:endnote w:type="continuationSeparator" w:id="0">
    <w:p w14:paraId="0FCBAA0F" w14:textId="77777777" w:rsidR="00416C57" w:rsidRDefault="0041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標楷體">
    <w:panose1 w:val="03000509000000000000"/>
    <w:charset w:val="88"/>
    <w:family w:val="script"/>
    <w:pitch w:val="fixed"/>
    <w:sig w:usb0="F1002BFF" w:usb1="29DFFFFF" w:usb2="00000037" w:usb3="00000000" w:csb0="003F00FF" w:csb1="00000000"/>
  </w:font>
  <w:font w:name="DFKai-SB">
    <w:altName w:val="Times New Roman"/>
    <w:panose1 w:val="03000509000000000000"/>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741F66" w:rsidRDefault="00EA297C">
    <w:pPr>
      <w:widowControl w:val="0"/>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014374">
      <w:rPr>
        <w:rFonts w:eastAsia="Calibri"/>
        <w:noProof/>
        <w:color w:val="000000"/>
        <w:sz w:val="20"/>
        <w:szCs w:val="20"/>
      </w:rPr>
      <w:t>3</w:t>
    </w:r>
    <w:r>
      <w:rPr>
        <w:color w:val="000000"/>
        <w:sz w:val="20"/>
        <w:szCs w:val="20"/>
      </w:rPr>
      <w:fldChar w:fldCharType="end"/>
    </w:r>
  </w:p>
  <w:p w14:paraId="00000022" w14:textId="77777777" w:rsidR="00741F66" w:rsidRDefault="00741F66">
    <w:pPr>
      <w:widowControl w:val="0"/>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2790" w14:textId="77777777" w:rsidR="00416C57" w:rsidRDefault="00416C57">
      <w:r>
        <w:separator/>
      </w:r>
    </w:p>
  </w:footnote>
  <w:footnote w:type="continuationSeparator" w:id="0">
    <w:p w14:paraId="6C71EDE9" w14:textId="77777777" w:rsidR="00416C57" w:rsidRDefault="0041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2135"/>
    <w:multiLevelType w:val="multilevel"/>
    <w:tmpl w:val="50B8222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right"/>
      <w:pPr>
        <w:ind w:left="0" w:firstLine="0"/>
      </w:pPr>
    </w:lvl>
  </w:abstractNum>
  <w:num w:numId="1" w16cid:durableId="116053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66"/>
    <w:rsid w:val="00014374"/>
    <w:rsid w:val="00416C57"/>
    <w:rsid w:val="00741F66"/>
    <w:rsid w:val="00E56B89"/>
    <w:rsid w:val="00EA29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176FC-02E8-4088-A78F-E85338BD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耳朵</cp:lastModifiedBy>
  <cp:revision>3</cp:revision>
  <dcterms:created xsi:type="dcterms:W3CDTF">2022-09-02T06:43:00Z</dcterms:created>
  <dcterms:modified xsi:type="dcterms:W3CDTF">2022-09-02T06:43:00Z</dcterms:modified>
</cp:coreProperties>
</file>